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CC" w:rsidRPr="00114DCC" w:rsidRDefault="00114DCC" w:rsidP="00114DC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D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543560"/>
            <wp:effectExtent l="0" t="0" r="0" b="8890"/>
            <wp:docPr id="1" name="Picture 1" descr="http://rc.majlis.ir/assets/img/common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.majlis.ir/assets/img/common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</w:p>
    <w:p w:rsidR="00114DCC" w:rsidRPr="00114DCC" w:rsidRDefault="00114DCC" w:rsidP="007A2C5D">
      <w:pPr>
        <w:shd w:val="clear" w:color="auto" w:fill="FFFFFF"/>
        <w:bidi/>
        <w:spacing w:after="0" w:line="240" w:lineRule="atLeast"/>
        <w:rPr>
          <w:rFonts w:ascii="Mitra" w:eastAsia="Times New Roman" w:hAnsi="Mitra" w:cs="Times New Roman"/>
          <w:color w:val="212529"/>
          <w:sz w:val="26"/>
          <w:szCs w:val="26"/>
        </w:rPr>
      </w:pP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 xml:space="preserve">شماره212767/ت37550ک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27/12/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>1386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معاونت حقوقی و امور مجلس رییس جمهور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وزیران عضو کمیسیون لوایح در جلسه مورخ 30/10/1386 بنا به پیشنهاد شماره 37437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/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 xml:space="preserve">1199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مورخ 12/3/1386 معاونت حقوقی و امور مجلس رییس جمهور و به‌استناد اصول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یکصدوسی‌وچهارم و یکصدوسی‌وهشتم قانون اساسی جمهوری اسلامی ایران و با رعایت جزء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>(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د) بند (1) تصویب‌نامه شماره 158816/ت38857 هـ مورخ 1/10/1386، آیین‌نامه چگونگی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رفع اختلاف بین دستگاه‌های اجرایی از طریق ساز و کارهای داخلی قوه مجریه را به شرح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زیر تصویب نمودند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: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آیین‌نامه چگونگی رفع اختلاف بین دستگاه‌های اجرایی از طریق ساز و کارهای داخلی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قوه مجریه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ماده1ـ اصطلاحات مندرج در این آیین‌نامه در معانی زیر به کار می‌روند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: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الف ـ دستگاه اجرایی: هر یک از دستگاه‌های موضوع ماده (160) قانون برنامه چهارم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توسعه اقتصادی، اجتماعی و فرهنگی جمهوری اسلامی ایران ـ مصوب 1383ـ</w:t>
      </w:r>
      <w:r w:rsidR="007A2C5D">
        <w:rPr>
          <w:rStyle w:val="FootnoteReference"/>
          <w:rFonts w:ascii="Mitra" w:eastAsia="Times New Roman" w:hAnsi="Mitra" w:cs="Times New Roman"/>
          <w:color w:val="212529"/>
          <w:sz w:val="26"/>
          <w:szCs w:val="26"/>
          <w:rtl/>
        </w:rPr>
        <w:footnoteReference w:id="1"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 xml:space="preserve"> </w:t>
      </w:r>
      <w:r w:rsidR="00BF3FFB">
        <w:rPr>
          <w:rStyle w:val="FootnoteReference"/>
          <w:rFonts w:ascii="Mitra" w:eastAsia="Times New Roman" w:hAnsi="Mitra" w:cs="Times New Roman"/>
          <w:color w:val="212529"/>
          <w:sz w:val="26"/>
          <w:szCs w:val="26"/>
          <w:rtl/>
        </w:rPr>
        <w:footnoteReference w:id="2"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که زیرمجموعه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lastRenderedPageBreak/>
        <w:t>قوه مجریه می‌باشند و در این آیین‌نامه حسب مورد به دستگاه ستادی، دستگاه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زیرمجموعه و دستگاه استانی تقسیم می‌شوند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ب ـ دستگاه ستادی: وزارتخانه و مؤسسه دولتی که زیر نظر وزارتخانه یا مؤسسه دولتی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دیگری نباشد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ج ـ دستگاه زیرمجموعه: کلیه تشکیلات اداری و نیز واحدهای سازمانی که تابعه یا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وابسته به یک دستگاه ستادی می‌باشند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 ـ دستگاه استانی: هر یک از دستگاه‌های زیرمجموعه که مأموریت استانی دارد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هـ ـ اختلاف: اختلاف‌نظر دستگاه‌های اجرایی در برداشت از قوانین و مقررات و یا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اختلاف ناشی از تداخل وظایف قانونی آنها و همچنین اختلاف آنها در مورد اموال و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حقوق مالی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ماده2‌ـ اختلاف بین دستگاه‌های زیرمجموعه یک دستگاه ستادی که توسط رؤسای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دستگاه‌های زیرمجموعه با استفاده از اختیارات قانونی آنها مرتفع نشود، حسب مورد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به‌وزیر یا بالاترین مقام اجرایی دستگاه ستادی منعکس می‌گردد تا در حدود اختیارات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 مسئولیت‌های قانونی آنان مورد تصمیم‌گیری قرارگیرد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تبصره ـ در مواردی که حل و فصل اختلاف موضوع این ماده در جهت وضعیت مطلوب، نیاز به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تصمیم‌گیری هیئت‌وزیران داشته باشد، مانند تغییر بهره‌بردار اموال غیرمنقول دو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مؤسسه دولتی زیرمجموعه یک دستگاه ستادی یا شرکت و دستگاه ستادی مربوط (موضوع مواد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 xml:space="preserve">(117)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 (118) قانون محاسبات عمومی کشور ـ مصوب 1366ـ) پیشنهاد لازم مستقیماً توسط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وزیر یا بالاترین مقام اجرایی دستگاه ستادی به هیئت‌وزیران ارایه خواهد 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ماده3ـ اختلافات بین دستگاه‌های استانی که توسط رؤسای دستگاه‌های مذکور با استفاده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از اختیارات قانونی آنان مرتفع نشود، به استاندار استان مربوط منعکس می‌گردد تا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حدود اختیارات قانونی وی و راهکارهای مندرج در قوانین از جمله ماده (89) قانون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تنظیم بخشی از مقررات مالی دولت ـ مصوب 1380‌ـ مورد تصمیم‌گیری قرار گیرد.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مواردی که حل و فصل این اختلافات نیاز به تصمیم‌گیری هیئت‌وزیران داشته باشد موضوع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توسط استاندار همراه با نظریه مستدل و مستند استانداری به معاونت حقوقی و امور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مجلس رییس جمهور منعکس و با پیشنهاد معاونت مزبور همراه با نظریه حقوقی و ارایه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راهکار در هیئت‌وزیران مطرح خواهد 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تبصره ـ اختلاف بین استانداری‌ها در صورتی که به یک دستگاه‌های اجرایی دیگر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ارتباطی نداشته باشد، توسط وزارت کشور در حدود اختیارات قانونی رفع خواهد شد،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غیر این صورت به ترتیب مقرر در ماده (4) این آیین‌نامه اقدام می‌گردد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lastRenderedPageBreak/>
        <w:t>ماده4ـ اختلافات بین دو یا چند دستگاه ستادی توسط وزرا و رؤسای دستگاه‌های یادشده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در چارچوب اختیارات قانونی آنان مرتفع می‌گردد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چنانچه اختلافات دستگاه‌های مزبور توسط وزراء یا رؤسای آنان مرتفع نشود، مراتب به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معاونت حقوقی و امور مجلس رییس جمهور منعکس می‌گردد تا در حدود اختیاراتی که مطابق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اصل (124) قانون اساسی جمهوری اسلامی ایران به وی محول شده است با اتخاذ تدابیر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لازم و از طریق راهکارهای قانونی رفع اختلاف گردد. در مواردی که برای حل و فصل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موضوع اختلاف در جهت وضعیت مطلوب، نیاز به تصمیم‌گیری هیئت‌وزیران باشد، همچنین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مواردی که حل اختلاف طبق قوانین مستلزم تصمیم‌گیری هیئت‌وزیران است، پیشنهاد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معاونت یادشده همراه با نظریه حقوقی مستدل و ارایه راهکار در هیئت‌وزیران مطرح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خواهد 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ماده5 ـ اختیارات هیئت‌وزیران مندرج در این آیین‌نامه و همچنین اصلاح این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آئین‌نامه، به وزرای عضو کمیسیون لوایح هیئت دولت تفویض می‌گردد. جلسه کمیسیون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یادشده برای رسیدگی به اختلافات موضوع این آئین‌نامه، با دعوت از وزراء و رؤسای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دستگاه‌های ستادی طرف اختلاف برگزار می‌شود. ملاک تصمیم‌گیری موافقت اکثریت وزرای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عضو کمیسیون می‌باشد و مصوبات کمیسیون در صورت تأیید رییس جمهور، با رعایت ماده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 xml:space="preserve">(19)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آیین‌نامه داخلی هیئت‌ دولت قابل صدور است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ماده6 ـ در مورد اختیارات خاص رییس جمهور راجع به امور برنامه و بودجه و اموراداری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 استخدامی کشور موضوع اصل (126) قانون اساسی جمهوری اسلامی ایران در صورتی که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اختلاف به ترتیب مذکور در مواد (3) و (4) حل نشود، مراتب همراه با نظریه معاونت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حقوقی و امور مجلس رییس جمهور برای حل اختلاف و تصمیم‌گیری به‌رییس جمهورر منعکس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خواهد 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ماده7ـ اختلافاتی که در قوانین برای رسیدگی آنها مرجع یا مراجع خاصی پیش‌بینی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گردیده (مانند اختلافات مالیاتی و کارگری و کارفرمایی و اختلاف موضوع ماده (69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)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قانون تنظیم بخشی از مقررات مالی دولت) مشمول این آیین‌نامه نبوده و به ترتیب مقرر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در قوانین مربوط تصمیم‌گیری خواهد شد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ماده8 ـ معاونت حقوقی و امور مجلس رییس جمهور حداکثر ظرف پانزده روز از تاریخ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ابلاغ این آئین‌نامه، شیوه‌نامه طرح اختلاف نزد مراجع مذکور در مواد (2)، (3) و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 xml:space="preserve">(4)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این آئین‌نامه را به همراه فرم‌های مربوط (از جمله فرم نحوه تعیین نمایندگان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دستگاه اجرایی ذی‌ربط و اختیارات آنها و نیز فرم ارجاع اختلافات به‌مراجع یادشده و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نحوه تصمیم‌گیری مراجع مزبور) تهیه و در اجرای اصول (124)، (134) و (139) قانون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اساسی جمهوری اسلامی ایران به کلیه دستگاه‌های مشمول این آیین‌نامه ابلاغ خواهد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نمود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ماده9ـ دستگاه‌های اجرایی مکلفند گزارشی از دعاوی و اختلافات خود با سایر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دستگاه‌های اجرایی را که تا تاریخ 11/2/1386 در مراجع قضایی مطرح بوده است با ذکر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ارزش خواسته، مرحله رسیدگی (بدوی، تجدیدنظر و سایر مراحل رسیدگی) میزان هزینه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داوری، هزینه کارشناسی (پرداخت و یا تعهد شده) و تاریخ آغاز طرح اختلاف در مراجع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قضایی، حسب مورد به مراجع مربوط در این آیین‌نامه منعکس نمایند تا براساس این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آیین‌نامه مورد بررسی و حل و فصل قرارگیرد. به محض رفع یا حل اختلاف، دستگاه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اقامه‌کننده دعوی نسبت به استرداد دعوی از مراجع قضایی اقدام خواهد نمود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ماده10ـ رؤسای دستگاه‌های ستادی و استانداران تصمیماتی را که در چارچوب مواد (2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)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  <w:t xml:space="preserve">(3) </w:t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و (4) این ‌آیین‌نامه اتخاذ نموده یا می‌نمایند به ترتیب و در مهلت مندرج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lastRenderedPageBreak/>
        <w:t>شیوه‌نامه موضوع ماده (8) برای معاونت حقوقی و امور مجلس رییس‌جمهور ارسال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می‌نمایند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همچنین در صورتی که مراجع مذکور برای تصمیم‌گیری نیازمند استعلام از معاونت یادشده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باشند، مراتب را همراه سوابق امر و نظریه طرف‌های اختلاف در ماهیت امر به معاونت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مزبور منعکس می‌‌نمایند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ماده11 ـ در مواردی که رفع اختلاف موضوع این آیین‌نامه مستلزم بررسی هر یک از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کارشناسان دستگاه‌های اجرایی علاوه بر وظایف اصلی آنان و خارج از ساعات اداری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باشد، حق‌الزحمه کارشناسی به ترتیب مقرر در قوانین و مقررات مربوط پرداخت خواهد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شد. همچنین در مواردی که رفع اختلاف در اموال و حقوق مالی به‌تشخیص مراجع مذکور در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این آیین‌نامه نیازمند اظهارنظر کارشناس رسمی دادگستری باشد مراتب به کارشناس رسمی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مربوط ارجاع خواهد شد و حق‌الزحمه آن برابر تعرفه مصوب پرداخت می‌گردد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ماده12‌ـ معاونت حقوقی و امور مجلس رییس جمهور مکلف است سالیانه گزارش جامعی از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عملکرد موضوع این آیین‌نامه را به هیئت‌وزیران ارایه نماید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ماده13ـ کلیه مصوبات و بخشنامه‌های مغایر صادره تا تاریخ ابلاغ این آئین‌‌نامه،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لغو و مفاد این آئین‌نامه جایگزین آنها می‌گردد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این تصویب‌نامه در تاریخ 26/12/1386 به تأیید مقام محترم ریاست جمهوری رسیده است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t>.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  <w:r w:rsidRPr="00114DCC">
        <w:rPr>
          <w:rFonts w:ascii="Mitra" w:eastAsia="Times New Roman" w:hAnsi="Mitra" w:cs="Times New Roman"/>
          <w:color w:val="212529"/>
          <w:sz w:val="26"/>
          <w:szCs w:val="26"/>
          <w:rtl/>
        </w:rPr>
        <w:t>معاون اول رئیس جمهور ـ پرویز داودی</w:t>
      </w:r>
      <w:r w:rsidRPr="00114DCC">
        <w:rPr>
          <w:rFonts w:ascii="Mitra" w:eastAsia="Times New Roman" w:hAnsi="Mitra" w:cs="Times New Roman"/>
          <w:color w:val="212529"/>
          <w:sz w:val="26"/>
          <w:szCs w:val="26"/>
        </w:rPr>
        <w:br/>
      </w:r>
    </w:p>
    <w:p w:rsidR="00D93FDA" w:rsidRDefault="00D93FDA" w:rsidP="00114DCC">
      <w:pPr>
        <w:bidi/>
        <w:rPr>
          <w:rtl/>
          <w:lang w:bidi="fa-IR"/>
        </w:rPr>
      </w:pPr>
    </w:p>
    <w:sectPr w:rsidR="00D9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AF" w:rsidRDefault="000E22AF" w:rsidP="007A2C5D">
      <w:pPr>
        <w:spacing w:after="0" w:line="240" w:lineRule="auto"/>
      </w:pPr>
      <w:r>
        <w:separator/>
      </w:r>
    </w:p>
  </w:endnote>
  <w:endnote w:type="continuationSeparator" w:id="0">
    <w:p w:rsidR="000E22AF" w:rsidRDefault="000E22AF" w:rsidP="007A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AF" w:rsidRDefault="000E22AF" w:rsidP="007A2C5D">
      <w:pPr>
        <w:spacing w:after="0" w:line="240" w:lineRule="auto"/>
      </w:pPr>
      <w:r>
        <w:separator/>
      </w:r>
    </w:p>
  </w:footnote>
  <w:footnote w:type="continuationSeparator" w:id="0">
    <w:p w:rsidR="000E22AF" w:rsidRDefault="000E22AF" w:rsidP="007A2C5D">
      <w:pPr>
        <w:spacing w:after="0" w:line="240" w:lineRule="auto"/>
      </w:pPr>
      <w:r>
        <w:continuationSeparator/>
      </w:r>
    </w:p>
  </w:footnote>
  <w:footnote w:id="1"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Style w:val="FootnoteReference"/>
          <w:rFonts w:cs="B Lotus"/>
          <w:color w:val="FF0000"/>
          <w:sz w:val="24"/>
          <w:szCs w:val="24"/>
        </w:rPr>
        <w:footnoteRef/>
      </w:r>
      <w:r w:rsidRPr="00BF3FFB">
        <w:rPr>
          <w:rFonts w:cs="B Lotus"/>
          <w:color w:val="FF0000"/>
          <w:sz w:val="24"/>
          <w:szCs w:val="24"/>
        </w:rPr>
        <w:t xml:space="preserve"> </w:t>
      </w:r>
      <w:r w:rsidRPr="00BF3FFB">
        <w:rPr>
          <w:rFonts w:cs="B Lotus"/>
          <w:color w:val="FF0000"/>
          <w:sz w:val="24"/>
          <w:szCs w:val="24"/>
          <w:rtl/>
        </w:rPr>
        <w:t>(</w:t>
      </w:r>
      <w:r w:rsidRPr="00BF3FFB">
        <w:rPr>
          <w:rFonts w:ascii="Arial" w:hAnsi="Arial" w:cs="B Lotus"/>
          <w:color w:val="FF0000"/>
          <w:sz w:val="24"/>
          <w:szCs w:val="24"/>
          <w:rtl/>
        </w:rPr>
        <w:t>‌</w:t>
      </w:r>
      <w:r w:rsidRPr="00BF3FFB">
        <w:rPr>
          <w:rFonts w:cs="B Lotus" w:hint="cs"/>
          <w:color w:val="FF0000"/>
          <w:sz w:val="24"/>
          <w:szCs w:val="24"/>
          <w:rtl/>
        </w:rPr>
        <w:t>ماده</w:t>
      </w:r>
      <w:r w:rsidRPr="00BF3FFB">
        <w:rPr>
          <w:rFonts w:cs="B Lotus"/>
          <w:color w:val="FF0000"/>
          <w:sz w:val="24"/>
          <w:szCs w:val="24"/>
          <w:rtl/>
        </w:rPr>
        <w:t xml:space="preserve"> 160 -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‌کلیه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وزارتخانه‌ها،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مؤسسات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دولتی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موضوع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ماده</w:t>
      </w:r>
      <w:r w:rsidRPr="00BF3FFB">
        <w:rPr>
          <w:rFonts w:cs="B Lotus"/>
          <w:color w:val="FF0000"/>
          <w:sz w:val="24"/>
          <w:szCs w:val="24"/>
          <w:rtl/>
        </w:rPr>
        <w:t xml:space="preserve"> (4) «‌</w:t>
      </w:r>
      <w:r w:rsidRPr="00BF3FFB">
        <w:rPr>
          <w:rFonts w:cs="B Lotus" w:hint="cs"/>
          <w:color w:val="FF0000"/>
          <w:sz w:val="24"/>
          <w:szCs w:val="24"/>
          <w:rtl/>
        </w:rPr>
        <w:t>قانون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محاسبات‌عمومی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کشور،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مصوب</w:t>
      </w:r>
      <w:r w:rsidRPr="00BF3FFB">
        <w:rPr>
          <w:rFonts w:cs="B Lotus"/>
          <w:color w:val="FF0000"/>
          <w:sz w:val="24"/>
          <w:szCs w:val="24"/>
          <w:rtl/>
        </w:rPr>
        <w:t xml:space="preserve"> 1366.6.1»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سایر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شرکتهائی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که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بیش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از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پنجاه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درصد</w:t>
      </w:r>
      <w:r w:rsidRPr="00BF3FFB">
        <w:rPr>
          <w:rFonts w:cs="B Lotus"/>
          <w:color w:val="FF0000"/>
          <w:sz w:val="24"/>
          <w:szCs w:val="24"/>
          <w:rtl/>
        </w:rPr>
        <w:t xml:space="preserve"> (50%)‌</w:t>
      </w:r>
      <w:r w:rsidRPr="00BF3FFB">
        <w:rPr>
          <w:rFonts w:cs="B Lotus" w:hint="cs"/>
          <w:color w:val="FF0000"/>
          <w:sz w:val="24"/>
          <w:szCs w:val="24"/>
          <w:rtl/>
        </w:rPr>
        <w:t>سرمایه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سهام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آنها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منفرداً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یا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مشترکاً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وزارتخانه‌ها،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مؤسسات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دولتی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دولتی،‌به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استثنای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بانکها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مؤسسات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اعتباری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بیمه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قانونی،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تعلق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داشته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باشند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و‌همچنین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مؤسسات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دولتی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که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شمول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قوانین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مقررات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عمومی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آنها،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مستلزم‌ذکر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یا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تصریح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نام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است،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ازجمله</w:t>
      </w:r>
      <w:r w:rsidRPr="00BF3FFB">
        <w:rPr>
          <w:rFonts w:cs="B Lotus"/>
          <w:color w:val="FF0000"/>
          <w:sz w:val="24"/>
          <w:szCs w:val="24"/>
          <w:rtl/>
        </w:rPr>
        <w:t xml:space="preserve"> : </w:t>
      </w:r>
      <w:r w:rsidRPr="00BF3FFB">
        <w:rPr>
          <w:rFonts w:cs="B Lotus" w:hint="cs"/>
          <w:color w:val="FF0000"/>
          <w:sz w:val="24"/>
          <w:szCs w:val="24"/>
          <w:rtl/>
        </w:rPr>
        <w:t>شرکت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ملی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نفت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ایران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تابعه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وابسته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به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وزارت‌نفت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تابعه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آنها،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سازمان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گسترش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نوسازی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صنایع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ایران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تابعه،‌سازمان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توسعه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</w:rPr>
      </w:pPr>
      <w:r w:rsidRPr="00BF3FFB">
        <w:rPr>
          <w:rFonts w:cs="B Lotus" w:hint="cs"/>
          <w:color w:val="FF0000"/>
          <w:sz w:val="24"/>
          <w:szCs w:val="24"/>
          <w:rtl/>
        </w:rPr>
        <w:t>نوسازی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معادن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صنایع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معدنی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ایران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و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شرکتهای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تابعه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در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موارد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مربوط،‌مشمول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مقررات</w:t>
      </w:r>
    </w:p>
    <w:p w:rsidR="007A2C5D" w:rsidRPr="00BF3FFB" w:rsidRDefault="007A2C5D" w:rsidP="007A2C5D">
      <w:pPr>
        <w:pStyle w:val="FootnoteText"/>
        <w:bidi/>
        <w:rPr>
          <w:rFonts w:cs="B Lotus"/>
          <w:color w:val="FF0000"/>
          <w:sz w:val="24"/>
          <w:szCs w:val="24"/>
          <w:rtl/>
        </w:rPr>
      </w:pPr>
      <w:r w:rsidRPr="00BF3FFB">
        <w:rPr>
          <w:rFonts w:cs="B Lotus" w:hint="cs"/>
          <w:color w:val="FF0000"/>
          <w:sz w:val="24"/>
          <w:szCs w:val="24"/>
          <w:rtl/>
        </w:rPr>
        <w:t>این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قانون</w:t>
      </w:r>
      <w:r w:rsidRPr="00BF3FFB">
        <w:rPr>
          <w:rFonts w:cs="B Lotus"/>
          <w:color w:val="FF0000"/>
          <w:sz w:val="24"/>
          <w:szCs w:val="24"/>
          <w:rtl/>
        </w:rPr>
        <w:t xml:space="preserve"> </w:t>
      </w:r>
      <w:r w:rsidRPr="00BF3FFB">
        <w:rPr>
          <w:rFonts w:cs="B Lotus" w:hint="cs"/>
          <w:color w:val="FF0000"/>
          <w:sz w:val="24"/>
          <w:szCs w:val="24"/>
          <w:rtl/>
        </w:rPr>
        <w:t>می‌باشند.</w:t>
      </w:r>
    </w:p>
    <w:p w:rsidR="00BF3FFB" w:rsidRDefault="00BF3FFB" w:rsidP="00BF3FFB">
      <w:pPr>
        <w:pStyle w:val="FootnoteText"/>
        <w:bidi/>
        <w:rPr>
          <w:rtl/>
          <w:lang w:bidi="fa-IR"/>
        </w:rPr>
      </w:pPr>
    </w:p>
  </w:footnote>
  <w:footnote w:id="2">
    <w:p w:rsidR="00BF3FFB" w:rsidRPr="00BF3FFB" w:rsidRDefault="00BF3FFB" w:rsidP="005D5F40">
      <w:pPr>
        <w:bidi/>
        <w:spacing w:line="360" w:lineRule="atLeast"/>
        <w:rPr>
          <w:rFonts w:ascii="sahel" w:eastAsia="Times New Roman" w:hAnsi="sahel" w:cs="B Lotus"/>
          <w:color w:val="FF0000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bookmarkStart w:id="0" w:name="_GoBack"/>
      <w:r w:rsidRPr="00BF3FFB">
        <w:rPr>
          <w:rFonts w:ascii="Times New Roman" w:eastAsia="Times New Roman" w:hAnsi="Times New Roman" w:cs="Times New Roman"/>
          <w:color w:val="333333"/>
          <w:sz w:val="68"/>
          <w:szCs w:val="68"/>
          <w:bdr w:val="none" w:sz="0" w:space="0" w:color="auto" w:frame="1"/>
        </w:rPr>
        <w:br/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>‌قانون فهرست نهادها و مؤسسات عمومی غیر دولتی</w:t>
      </w:r>
      <w:r w:rsidR="0056319E">
        <w:rPr>
          <w:rFonts w:ascii="sahel" w:eastAsia="Times New Roman" w:hAnsi="sahel" w:cs="B Lotus" w:hint="c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مصوب 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  <w:lang w:bidi="fa-IR"/>
        </w:rPr>
        <w:t>۱۳۷۳/۰۴/۱۹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</w:rPr>
        <w:t> 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>با</w:t>
      </w:r>
      <w:r w:rsidRPr="00BF3FFB">
        <w:rPr>
          <w:rFonts w:ascii="Calibri" w:eastAsia="Times New Roman" w:hAnsi="Calibri" w:cs="Calibri" w:hint="cs"/>
          <w:b/>
          <w:bCs/>
          <w:color w:val="FF0000"/>
          <w:sz w:val="24"/>
          <w:szCs w:val="24"/>
          <w:bdr w:val="none" w:sz="0" w:space="0" w:color="auto" w:frame="1"/>
          <w:rtl/>
        </w:rPr>
        <w:t> 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 w:hint="cs"/>
          <w:b/>
          <w:bCs/>
          <w:color w:val="FF0000"/>
          <w:sz w:val="24"/>
          <w:szCs w:val="24"/>
          <w:bdr w:val="none" w:sz="0" w:space="0" w:color="auto" w:frame="1"/>
          <w:rtl/>
        </w:rPr>
        <w:t>آخرین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 w:hint="cs"/>
          <w:b/>
          <w:bCs/>
          <w:color w:val="FF0000"/>
          <w:sz w:val="24"/>
          <w:szCs w:val="24"/>
          <w:bdr w:val="none" w:sz="0" w:space="0" w:color="auto" w:frame="1"/>
          <w:rtl/>
        </w:rPr>
        <w:t>الحاقات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 w:hint="cs"/>
          <w:b/>
          <w:bCs/>
          <w:color w:val="FF0000"/>
          <w:sz w:val="24"/>
          <w:szCs w:val="24"/>
          <w:bdr w:val="none" w:sz="0" w:space="0" w:color="auto" w:frame="1"/>
          <w:rtl/>
        </w:rPr>
        <w:t>تا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 w:hint="cs"/>
          <w:b/>
          <w:bCs/>
          <w:color w:val="FF0000"/>
          <w:sz w:val="24"/>
          <w:szCs w:val="24"/>
          <w:bdr w:val="none" w:sz="0" w:space="0" w:color="auto" w:frame="1"/>
          <w:rtl/>
        </w:rPr>
        <w:t>تاریخ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 xml:space="preserve"> 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  <w:lang w:bidi="fa-IR"/>
        </w:rPr>
        <w:t>۱۳۸۷/۱۲/۰۴</w:t>
      </w:r>
      <w:hyperlink r:id="rId1" w:history="1">
        <w:r w:rsidRPr="00BF3FFB">
          <w:rPr>
            <w:rFonts w:ascii="sahel" w:eastAsia="Times New Roman" w:hAnsi="sahel" w:cs="B Lotus"/>
            <w:color w:val="FF0000"/>
            <w:sz w:val="24"/>
            <w:szCs w:val="24"/>
            <w:u w:val="single"/>
            <w:bdr w:val="none" w:sz="0" w:space="0" w:color="auto" w:frame="1"/>
            <w:rtl/>
          </w:rPr>
          <w:t>قوانین</w:t>
        </w:r>
      </w:hyperlink>
      <w:r w:rsidRPr="00BF3FFB">
        <w:rPr>
          <w:rFonts w:ascii="sahel" w:eastAsia="Times New Roman" w:hAnsi="sahel" w:cs="B Lotus"/>
          <w:color w:val="FF0000"/>
          <w:sz w:val="24"/>
          <w:szCs w:val="24"/>
        </w:rPr>
        <w:t> 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جمهوری اسلامی ایران</w:t>
      </w:r>
    </w:p>
    <w:p w:rsidR="00BF3FFB" w:rsidRPr="00BF3FFB" w:rsidRDefault="00BF3FFB" w:rsidP="005D5F40">
      <w:pPr>
        <w:bidi/>
        <w:spacing w:after="0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  <w:rtl/>
        </w:rPr>
        <w:t>‌ماده واحده</w:t>
      </w:r>
      <w:r w:rsidRPr="00BF3FFB">
        <w:rPr>
          <w:rFonts w:ascii="sahel" w:eastAsia="Times New Roman" w:hAnsi="sahel" w:cs="B Lotus"/>
          <w:b/>
          <w:bCs/>
          <w:color w:val="FF0000"/>
          <w:sz w:val="24"/>
          <w:szCs w:val="24"/>
          <w:bdr w:val="none" w:sz="0" w:space="0" w:color="auto" w:frame="1"/>
        </w:rPr>
        <w:t xml:space="preserve"> – 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واحدهای سازمانی مشروحه زیر و مؤسسات وابسته به آنها، مؤسسات و نهادهای عمومی غیر دولتی موضوع تبصره ماده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۵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 قانون‌محاسبات عمومی کشور مصوب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۱۳۶۶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 می‌باشند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: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شهرداریها و شرکتهای تابعه آنان مادام که بیش از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۵۰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 درصد سهام و سرمایه آنان متعلق به شهرداریها باشد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۲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بنیاد مستضعفان و جانبازان انقلاب اسلامی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۳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هلال احمر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۴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کمیته امداد امام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۵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بنیاد شهید انقلاب اسلامی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۶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بنیاد مسکن انقلاب اسلامی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۷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کمیته ملی المپیک ایران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۸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بنیاد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۱۵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 خرداد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۹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سازمان تبلیغات اسلامی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۱۰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سازمان تأمین اجتماعی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۱۱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 –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فدراسیونهای ورزشی آماتوری جمهوری اسلامی ایران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۱۲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 xml:space="preserve">-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مؤسسه‌های جهاد نصر، جهاد استقلال و جهاد توسعه زیر نظر جهاد سازندگی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۱۳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شورای هماهنگی تبلیغات اسلامی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۱۴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کتابخانه حضرت آیت‌الله مرعشی نجفی (‌قم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)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۱۵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جهاد دانشگاهی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۱۶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بنیاد امور بیماریهای خاص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۱۷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سازمان دانش آموزی جمهوری اسلامی ایران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۱۸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صندوق بیمه روستاییان و عشایر</w:t>
      </w:r>
    </w:p>
    <w:p w:rsidR="00BF3FFB" w:rsidRPr="00BF3FFB" w:rsidRDefault="00BF3FFB" w:rsidP="005D5F40">
      <w:pPr>
        <w:bidi/>
        <w:spacing w:after="191" w:line="240" w:lineRule="auto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۱۹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-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صندوق تأمین خسارت‌های بدنی</w:t>
      </w:r>
    </w:p>
    <w:bookmarkEnd w:id="0"/>
    <w:p w:rsidR="00BF3FFB" w:rsidRPr="00BF3FFB" w:rsidRDefault="00BF3FFB" w:rsidP="00BF3FFB">
      <w:pPr>
        <w:spacing w:after="191" w:line="240" w:lineRule="auto"/>
        <w:jc w:val="right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‌تبصره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 xml:space="preserve">۱ </w:t>
      </w:r>
      <w:r w:rsidRPr="00BF3FFB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  <w:lang w:bidi="fa-IR"/>
        </w:rPr>
        <w:t>–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 xml:space="preserve">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مؤسسه وابسته از نظر این قانون واحد سازمانی مشخصی است که به صورتی غیر از شرکت و برای مقاصد غیر تجارتی و غیر انتفاعی‌توسط یک یا چند مؤسسه و نهاد عمومی غیر دولتی تأسیس و اداره می‌شود و به نحوی مالکیت آن متعلق به یک یا چند مؤسسه یا نهاد عمومی غیر‌دولتی باشد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BF3FFB">
      <w:pPr>
        <w:spacing w:after="191" w:line="240" w:lineRule="auto"/>
        <w:jc w:val="right"/>
        <w:rPr>
          <w:rFonts w:ascii="sahel" w:eastAsia="Times New Roman" w:hAnsi="sahel" w:cs="B Lotus"/>
          <w:color w:val="FF0000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‌تبصره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 xml:space="preserve">۲ </w:t>
      </w:r>
      <w:r w:rsidRPr="00BF3FFB">
        <w:rPr>
          <w:rFonts w:ascii="Times New Roman" w:eastAsia="Times New Roman" w:hAnsi="Times New Roman" w:cs="Times New Roman" w:hint="cs"/>
          <w:color w:val="FF0000"/>
          <w:sz w:val="24"/>
          <w:szCs w:val="24"/>
          <w:rtl/>
          <w:lang w:bidi="fa-IR"/>
        </w:rPr>
        <w:t>–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 xml:space="preserve">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>اجرای قانون در مورد مؤسسات و نهادهای عمومی که تحت نظر مقام ولایت فقیه هستند با اذن معظم‌له خواهد بود</w:t>
      </w:r>
      <w:r w:rsidRPr="00BF3FFB">
        <w:rPr>
          <w:rFonts w:ascii="sahel" w:eastAsia="Times New Roman" w:hAnsi="sahel" w:cs="B Lotus"/>
          <w:color w:val="FF0000"/>
          <w:sz w:val="24"/>
          <w:szCs w:val="24"/>
        </w:rPr>
        <w:t>.</w:t>
      </w:r>
    </w:p>
    <w:p w:rsidR="00BF3FFB" w:rsidRPr="00BF3FFB" w:rsidRDefault="00BF3FFB" w:rsidP="00BF3FFB">
      <w:pPr>
        <w:spacing w:line="240" w:lineRule="auto"/>
        <w:jc w:val="right"/>
        <w:rPr>
          <w:rFonts w:ascii="sahel" w:eastAsia="Times New Roman" w:hAnsi="sahel" w:cs="Times New Roman"/>
          <w:color w:val="2C2F34"/>
          <w:sz w:val="24"/>
          <w:szCs w:val="24"/>
        </w:rPr>
      </w:pP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‌قانون فوق مشتمل بر ماده واحده و دو تبصره در جلسه روز یک‌شنبه نوزدهم تیر ماه یک هزار و سیصد و هفتاد و سه مجلس شورای اسلامی تصویب و‌در تاریخ 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  <w:lang w:bidi="fa-IR"/>
        </w:rPr>
        <w:t>۱۳۷۳.۴.۲۹</w:t>
      </w:r>
      <w:r w:rsidRPr="00BF3FFB">
        <w:rPr>
          <w:rFonts w:ascii="sahel" w:eastAsia="Times New Roman" w:hAnsi="sahel" w:cs="B Lotus"/>
          <w:color w:val="FF0000"/>
          <w:sz w:val="24"/>
          <w:szCs w:val="24"/>
          <w:rtl/>
        </w:rPr>
        <w:t xml:space="preserve"> به تأیید شورای نگهبان رسیده است</w:t>
      </w:r>
      <w:r w:rsidRPr="00BF3FFB">
        <w:rPr>
          <w:rFonts w:ascii="sahel" w:eastAsia="Times New Roman" w:hAnsi="sahel" w:cs="Times New Roman"/>
          <w:color w:val="2C2F34"/>
          <w:sz w:val="24"/>
          <w:szCs w:val="24"/>
        </w:rPr>
        <w:t>.</w:t>
      </w:r>
    </w:p>
    <w:p w:rsidR="00BF3FFB" w:rsidRDefault="00BF3FFB" w:rsidP="00BF3FFB">
      <w:pPr>
        <w:pStyle w:val="FootnoteText"/>
        <w:bidi/>
        <w:jc w:val="both"/>
        <w:rPr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C"/>
    <w:rsid w:val="000E22AF"/>
    <w:rsid w:val="00114DCC"/>
    <w:rsid w:val="001C061C"/>
    <w:rsid w:val="0056319E"/>
    <w:rsid w:val="005D5F40"/>
    <w:rsid w:val="007A2C5D"/>
    <w:rsid w:val="007E3F01"/>
    <w:rsid w:val="00BF3FFB"/>
    <w:rsid w:val="00D9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B0B5F-BF8F-447B-939F-F1AEDCAD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3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F3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2C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C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C5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F3F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3FF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-comment">
    <w:name w:val="meta-comment"/>
    <w:basedOn w:val="DefaultParagraphFont"/>
    <w:rsid w:val="00BF3FFB"/>
  </w:style>
  <w:style w:type="character" w:customStyle="1" w:styleId="meta-views">
    <w:name w:val="meta-views"/>
    <w:basedOn w:val="DefaultParagraphFont"/>
    <w:rsid w:val="00BF3FFB"/>
  </w:style>
  <w:style w:type="character" w:customStyle="1" w:styleId="meta-reading-time">
    <w:name w:val="meta-reading-time"/>
    <w:basedOn w:val="DefaultParagraphFont"/>
    <w:rsid w:val="00BF3FFB"/>
  </w:style>
  <w:style w:type="paragraph" w:styleId="NormalWeb">
    <w:name w:val="Normal (Web)"/>
    <w:basedOn w:val="Normal"/>
    <w:uiPriority w:val="99"/>
    <w:semiHidden/>
    <w:unhideWhenUsed/>
    <w:rsid w:val="00BF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3F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3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4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8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htebar.com/%d9%82%d9%88%d8%a7%d9%86%db%8c%d9%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D406-76E4-416A-B70D-3CD79428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rashnavadi</dc:creator>
  <cp:keywords/>
  <dc:description/>
  <cp:lastModifiedBy>rashnavadi</cp:lastModifiedBy>
  <cp:revision>5</cp:revision>
  <dcterms:created xsi:type="dcterms:W3CDTF">2021-09-05T04:40:00Z</dcterms:created>
  <dcterms:modified xsi:type="dcterms:W3CDTF">2021-09-19T08:15:00Z</dcterms:modified>
</cp:coreProperties>
</file>